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1D2F5C" w:rsidP="00141A4C">
      <w:pPr>
        <w:pStyle w:val="Title"/>
      </w:pPr>
      <w:r>
        <w:t>Bruce D. Fisher</w:t>
      </w:r>
    </w:p>
    <w:p w:rsidR="00141A4C" w:rsidRDefault="00F20831" w:rsidP="00141A4C">
      <w:r>
        <w:t>Sarasota, FL</w:t>
      </w:r>
      <w:r w:rsidR="00141A4C">
        <w:t> | </w:t>
      </w:r>
      <w:r w:rsidR="00F47347">
        <w:t>(865)310-5432</w:t>
      </w:r>
      <w:r w:rsidR="00141A4C">
        <w:t> | </w:t>
      </w:r>
      <w:r w:rsidR="00F47347">
        <w:t>bfisher1943@gmail.com</w:t>
      </w:r>
    </w:p>
    <w:p w:rsidR="006270A9" w:rsidRDefault="005D3F63">
      <w:pPr>
        <w:pStyle w:val="Heading1"/>
      </w:pPr>
      <w:r>
        <w:t xml:space="preserve">Formal </w:t>
      </w:r>
      <w:sdt>
        <w:sdtPr>
          <w:alias w:val="Education:"/>
          <w:tag w:val="Education:"/>
          <w:id w:val="807127995"/>
          <w:placeholder>
            <w:docPart w:val="A876F0B8E9694C988AAE827CE7446AA5"/>
          </w:placeholder>
          <w:temporary/>
          <w:showingPlcHdr/>
          <w15:appearance w15:val="hidden"/>
        </w:sdtPr>
        <w:sdtEndPr/>
        <w:sdtContent>
          <w:r w:rsidR="009D5933">
            <w:t>Education</w:t>
          </w:r>
        </w:sdtContent>
      </w:sdt>
    </w:p>
    <w:p w:rsidR="00757733" w:rsidRDefault="00757733" w:rsidP="00BC4550">
      <w:pPr>
        <w:pStyle w:val="ListBullet"/>
      </w:pPr>
      <w:r>
        <w:t>LLM | 1974 | </w:t>
      </w:r>
      <w:r w:rsidR="00BC4550">
        <w:t>T</w:t>
      </w:r>
      <w:r>
        <w:t xml:space="preserve">he </w:t>
      </w:r>
      <w:r w:rsidR="00BC4550">
        <w:t>G</w:t>
      </w:r>
      <w:r>
        <w:t xml:space="preserve">eorge </w:t>
      </w:r>
      <w:r w:rsidR="00BC4550">
        <w:t>W</w:t>
      </w:r>
      <w:r>
        <w:t xml:space="preserve">ashington </w:t>
      </w:r>
      <w:r w:rsidR="00BC4550">
        <w:t>U</w:t>
      </w:r>
      <w:r>
        <w:t xml:space="preserve">niversity </w:t>
      </w:r>
      <w:r w:rsidR="00BC4550">
        <w:t>L</w:t>
      </w:r>
      <w:r>
        <w:t xml:space="preserve">aw </w:t>
      </w:r>
      <w:r w:rsidR="00BC4550">
        <w:t>S</w:t>
      </w:r>
      <w:r>
        <w:t>chool</w:t>
      </w:r>
    </w:p>
    <w:p w:rsidR="00757733" w:rsidRDefault="00BC4550" w:rsidP="00BC4550">
      <w:pPr>
        <w:pStyle w:val="ListBullet"/>
      </w:pPr>
      <w:r>
        <w:t>JD</w:t>
      </w:r>
      <w:r w:rsidR="00757733">
        <w:t xml:space="preserve"> | 1968 | University of </w:t>
      </w:r>
      <w:r>
        <w:t>M</w:t>
      </w:r>
      <w:r w:rsidR="00757733">
        <w:t xml:space="preserve">ichigan </w:t>
      </w:r>
      <w:r>
        <w:t>L</w:t>
      </w:r>
      <w:r w:rsidR="00757733">
        <w:t xml:space="preserve">aw </w:t>
      </w:r>
      <w:r>
        <w:t>S</w:t>
      </w:r>
      <w:r w:rsidR="00757733">
        <w:t>chool</w:t>
      </w:r>
    </w:p>
    <w:p w:rsidR="006270A9" w:rsidRDefault="00BC4550" w:rsidP="00BC4550">
      <w:pPr>
        <w:pStyle w:val="ListBullet"/>
      </w:pPr>
      <w:r>
        <w:t>BBA</w:t>
      </w:r>
      <w:r w:rsidR="009D5933">
        <w:t> | </w:t>
      </w:r>
      <w:r w:rsidR="006108D7">
        <w:t>1965</w:t>
      </w:r>
      <w:r w:rsidR="009D5933">
        <w:t> | </w:t>
      </w:r>
      <w:r>
        <w:t>U</w:t>
      </w:r>
      <w:r w:rsidR="006108D7">
        <w:t xml:space="preserve">niversity of </w:t>
      </w:r>
      <w:r>
        <w:t>M</w:t>
      </w:r>
      <w:r w:rsidR="006108D7">
        <w:t>ichigan</w:t>
      </w:r>
    </w:p>
    <w:p w:rsidR="006270A9" w:rsidRDefault="001D6B87">
      <w:pPr>
        <w:pStyle w:val="Heading1"/>
      </w:pPr>
      <w:r>
        <w:t>Professional Experience</w:t>
      </w:r>
    </w:p>
    <w:p w:rsidR="006270A9" w:rsidRDefault="00A44FE1">
      <w:pPr>
        <w:pStyle w:val="Heading2"/>
      </w:pPr>
      <w:r>
        <w:t>Assistant professor – university of tennessee, knoxville</w:t>
      </w:r>
    </w:p>
    <w:p w:rsidR="006270A9" w:rsidRDefault="00A44FE1">
      <w:pPr>
        <w:pStyle w:val="ListBullet"/>
      </w:pPr>
      <w:r>
        <w:t>1968-2010 (retired)</w:t>
      </w:r>
    </w:p>
    <w:p w:rsidR="0064197A" w:rsidRDefault="009465F3" w:rsidP="0064197A">
      <w:pPr>
        <w:pStyle w:val="Heading2"/>
      </w:pPr>
      <w:r>
        <w:t>visiting professor –</w:t>
      </w:r>
      <w:r w:rsidR="0064197A">
        <w:t xml:space="preserve"> hec</w:t>
      </w:r>
      <w:r w:rsidR="004B2BDD">
        <w:t>, Paris, France</w:t>
      </w:r>
    </w:p>
    <w:p w:rsidR="0064197A" w:rsidRDefault="0064197A" w:rsidP="0064197A">
      <w:pPr>
        <w:pStyle w:val="ListBullet"/>
      </w:pPr>
      <w:r>
        <w:t>2006-2009</w:t>
      </w:r>
    </w:p>
    <w:p w:rsidR="0064197A" w:rsidRDefault="0064197A" w:rsidP="0064197A">
      <w:pPr>
        <w:pStyle w:val="ListBullet"/>
      </w:pPr>
      <w:r>
        <w:t>2001-2004</w:t>
      </w:r>
    </w:p>
    <w:p w:rsidR="008528B0" w:rsidRDefault="008528B0" w:rsidP="008528B0">
      <w:pPr>
        <w:pStyle w:val="Heading2"/>
      </w:pPr>
      <w:r>
        <w:t>Visiting Professor – University of Michigan</w:t>
      </w:r>
    </w:p>
    <w:p w:rsidR="008528B0" w:rsidRDefault="008528B0" w:rsidP="008528B0">
      <w:pPr>
        <w:pStyle w:val="ListBullet"/>
      </w:pPr>
      <w:r>
        <w:t>2005</w:t>
      </w:r>
    </w:p>
    <w:p w:rsidR="008528B0" w:rsidRDefault="008528B0" w:rsidP="008528B0">
      <w:pPr>
        <w:pStyle w:val="ListBullet"/>
      </w:pPr>
      <w:r>
        <w:t>1998</w:t>
      </w:r>
    </w:p>
    <w:p w:rsidR="008528B0" w:rsidRDefault="008528B0" w:rsidP="008528B0">
      <w:pPr>
        <w:pStyle w:val="ListBullet"/>
      </w:pPr>
      <w:r>
        <w:t>1994</w:t>
      </w:r>
    </w:p>
    <w:p w:rsidR="008528B0" w:rsidRDefault="00161DE9" w:rsidP="00161DE9">
      <w:pPr>
        <w:pStyle w:val="Heading2"/>
      </w:pPr>
      <w:r>
        <w:t>Huber Hurst Scholar and Visiting Professor – University of Florida</w:t>
      </w:r>
    </w:p>
    <w:p w:rsidR="008528B0" w:rsidRDefault="00161DE9" w:rsidP="008528B0">
      <w:pPr>
        <w:pStyle w:val="ListBullet"/>
      </w:pPr>
      <w:r>
        <w:t>1991</w:t>
      </w:r>
    </w:p>
    <w:p w:rsidR="008528B0" w:rsidRDefault="004E0F01" w:rsidP="008528B0">
      <w:pPr>
        <w:pStyle w:val="Heading2"/>
      </w:pPr>
      <w:r>
        <w:t xml:space="preserve">Visiting Professor – </w:t>
      </w:r>
      <w:r w:rsidR="00207A70" w:rsidRPr="00207A70">
        <w:t>Stanf</w:t>
      </w:r>
      <w:r>
        <w:t>ord Graduate School of Business</w:t>
      </w:r>
    </w:p>
    <w:p w:rsidR="008528B0" w:rsidRDefault="00A8714C" w:rsidP="008528B0">
      <w:pPr>
        <w:pStyle w:val="ListBullet"/>
      </w:pPr>
      <w:r>
        <w:t>1979</w:t>
      </w:r>
    </w:p>
    <w:p w:rsidR="008528B0" w:rsidRDefault="00501342" w:rsidP="00501342">
      <w:pPr>
        <w:pStyle w:val="Heading2"/>
      </w:pPr>
      <w:r>
        <w:t>Visiting Professor – University of North Carolina, Chapel Hill</w:t>
      </w:r>
    </w:p>
    <w:p w:rsidR="008528B0" w:rsidRDefault="00501342" w:rsidP="008528B0">
      <w:pPr>
        <w:pStyle w:val="ListBullet"/>
      </w:pPr>
      <w:r>
        <w:t>1978</w:t>
      </w:r>
    </w:p>
    <w:p w:rsidR="006270A9" w:rsidRDefault="009465F3" w:rsidP="009465F3">
      <w:pPr>
        <w:pStyle w:val="Heading2"/>
      </w:pPr>
      <w:r>
        <w:t>Attorney – Office of General Counsel, U.S. Environmental Protection Agency</w:t>
      </w:r>
    </w:p>
    <w:p w:rsidR="006270A9" w:rsidRDefault="009465F3">
      <w:pPr>
        <w:pStyle w:val="ListBullet"/>
      </w:pPr>
      <w:r>
        <w:t>1975</w:t>
      </w:r>
    </w:p>
    <w:p w:rsidR="008528B0" w:rsidRDefault="008528B0" w:rsidP="008528B0">
      <w:pPr>
        <w:pStyle w:val="Heading2"/>
      </w:pPr>
      <w:r>
        <w:t>Sears-Roebuck AACSB Federal Faculty Fellow</w:t>
      </w:r>
    </w:p>
    <w:p w:rsidR="008528B0" w:rsidRDefault="008528B0" w:rsidP="008528B0">
      <w:pPr>
        <w:pStyle w:val="ListBullet"/>
      </w:pPr>
      <w:r>
        <w:t>1974</w:t>
      </w:r>
    </w:p>
    <w:p w:rsidR="006270A9" w:rsidRDefault="008F7557">
      <w:pPr>
        <w:pStyle w:val="Heading1"/>
      </w:pPr>
      <w:r>
        <w:t xml:space="preserve">Books </w:t>
      </w:r>
    </w:p>
    <w:p w:rsidR="006270A9" w:rsidRDefault="000D753C" w:rsidP="000D753C">
      <w:pPr>
        <w:pStyle w:val="ListBullet"/>
      </w:pPr>
      <w:r>
        <w:t>“</w:t>
      </w:r>
      <w:r w:rsidR="008F7557" w:rsidRPr="008F7557">
        <w:t>Introduction to the</w:t>
      </w:r>
      <w:r w:rsidR="008F7557">
        <w:t xml:space="preserve"> </w:t>
      </w:r>
      <w:r w:rsidR="008F7557" w:rsidRPr="008F7557">
        <w:t>Legal</w:t>
      </w:r>
      <w:r>
        <w:t xml:space="preserve"> System”, West Publ., 1972, 1977</w:t>
      </w:r>
    </w:p>
    <w:p w:rsidR="000D753C" w:rsidRDefault="000D753C" w:rsidP="000D753C">
      <w:pPr>
        <w:pStyle w:val="ListBullet"/>
      </w:pPr>
      <w:r>
        <w:t>“The Legal, Ethical, and Regulatory Environment of Business”, West Publ., 1983, 1986, 1989, 199</w:t>
      </w:r>
      <w:r w:rsidR="00903C31">
        <w:t>2, 1995, 1998, 2001, 2004, 2008</w:t>
      </w:r>
    </w:p>
    <w:p w:rsidR="00903C31" w:rsidRDefault="00903C31" w:rsidP="00903C31">
      <w:pPr>
        <w:pStyle w:val="ListBullet"/>
      </w:pPr>
      <w:r>
        <w:t>“Law for Business”, West Publ., 1986, 1991</w:t>
      </w:r>
    </w:p>
    <w:p w:rsidR="001B325A" w:rsidRDefault="001B325A" w:rsidP="001B325A">
      <w:pPr>
        <w:pStyle w:val="ListBullet"/>
      </w:pPr>
      <w:r>
        <w:t>Under review: “A Comparison of French and U.S. Health Care: Law and Economics”</w:t>
      </w:r>
    </w:p>
    <w:p w:rsidR="0020202F" w:rsidRDefault="00EA356D" w:rsidP="0020202F">
      <w:pPr>
        <w:pStyle w:val="Heading1"/>
        <w:rPr>
          <w:rFonts w:ascii="Arial" w:eastAsia="Times New Roman" w:hAnsi="Arial" w:cs="Times New Roman"/>
          <w:color w:val="auto"/>
          <w:sz w:val="20"/>
          <w:szCs w:val="20"/>
        </w:rPr>
      </w:pPr>
      <w:r>
        <w:lastRenderedPageBreak/>
        <w:t>Articles</w:t>
      </w:r>
    </w:p>
    <w:p w:rsidR="005E288E" w:rsidRDefault="005E288E" w:rsidP="00051761">
      <w:pPr>
        <w:pStyle w:val="ListBullet"/>
      </w:pPr>
      <w:r>
        <w:t>“NAFTA: Twenty Years to Test Ricardo’s Theory of Comparative Advantage,” (Jan 2015)</w:t>
      </w:r>
    </w:p>
    <w:p w:rsidR="001C6B26" w:rsidRDefault="001C6B26" w:rsidP="00051761">
      <w:pPr>
        <w:pStyle w:val="ListBullet"/>
      </w:pPr>
      <w:r>
        <w:t xml:space="preserve">“A Simple Explanation of Some Legal and Economic Aspects of the Financial Meltdowns of Banks,” </w:t>
      </w:r>
      <w:r>
        <w:rPr>
          <w:u w:val="single"/>
        </w:rPr>
        <w:t>Michigan Bar Journal</w:t>
      </w:r>
      <w:r>
        <w:t xml:space="preserve"> (Mar. 2010)</w:t>
      </w:r>
    </w:p>
    <w:p w:rsidR="005859D3" w:rsidRDefault="0088193D" w:rsidP="005859D3">
      <w:pPr>
        <w:pStyle w:val="ListBullet"/>
      </w:pPr>
      <w:r>
        <w:t xml:space="preserve">Accepted for publication: “A Plain English Explanation of the Financial Crisis Relating to Bank Deposits, FASB 157 (Fair Value Accounting), and Repeal of Glass-Steagall” </w:t>
      </w:r>
      <w:r w:rsidRPr="0088193D">
        <w:rPr>
          <w:u w:val="single"/>
        </w:rPr>
        <w:t>MICH B.J.</w:t>
      </w:r>
      <w:r>
        <w:t xml:space="preserve"> (2009)</w:t>
      </w:r>
    </w:p>
    <w:p w:rsidR="00C866F2" w:rsidRDefault="00C866F2" w:rsidP="005859D3">
      <w:pPr>
        <w:pStyle w:val="ListBullet"/>
      </w:pPr>
      <w:r>
        <w:t>“Means Testing Bankruptcy: Destroying the Social Safety Net in Trying Times,” (Jul. 2008)</w:t>
      </w:r>
    </w:p>
    <w:p w:rsidR="00F93920" w:rsidRDefault="00F93920" w:rsidP="00F93920">
      <w:pPr>
        <w:pStyle w:val="ListBullet"/>
      </w:pPr>
      <w:r>
        <w:t xml:space="preserve">“A Comparative Study of French and U.S. Public Company Governance: French Law That Could Improve the Integrity of U.S. Financial Reporting,” 12 </w:t>
      </w:r>
      <w:r w:rsidRPr="0088193D">
        <w:rPr>
          <w:u w:val="single"/>
        </w:rPr>
        <w:t>NEW ENGLAND J. of INTERN’L. &amp; COMPARATIVE LAW</w:t>
      </w:r>
      <w:r>
        <w:t xml:space="preserve"> 241-293 (2007)</w:t>
      </w:r>
    </w:p>
    <w:p w:rsidR="007D7882" w:rsidRDefault="007D7882" w:rsidP="005859D3">
      <w:pPr>
        <w:pStyle w:val="ListBullet"/>
      </w:pPr>
      <w:r>
        <w:t xml:space="preserve">“Water Pollution – The Tennessee Response; Conclusions and Generalizations,” </w:t>
      </w:r>
      <w:r>
        <w:rPr>
          <w:u w:val="single"/>
        </w:rPr>
        <w:t>American Business Law Journal</w:t>
      </w:r>
      <w:r>
        <w:t xml:space="preserve"> (Aug. 2007)</w:t>
      </w:r>
    </w:p>
    <w:p w:rsidR="00822DE5" w:rsidRDefault="00822DE5" w:rsidP="005859D3">
      <w:pPr>
        <w:pStyle w:val="ListBullet"/>
      </w:pPr>
      <w:r>
        <w:t xml:space="preserve">“A Role for Jurisprudence in the Business Law Curriculum,” </w:t>
      </w:r>
      <w:r>
        <w:rPr>
          <w:u w:val="single"/>
        </w:rPr>
        <w:t>American Business Law Journal</w:t>
      </w:r>
      <w:r>
        <w:t xml:space="preserve"> (Aug. 2007)</w:t>
      </w:r>
    </w:p>
    <w:p w:rsidR="0046230A" w:rsidRDefault="0046230A" w:rsidP="0046230A">
      <w:pPr>
        <w:pStyle w:val="ListBullet"/>
      </w:pPr>
      <w:r>
        <w:t xml:space="preserve">“Are Means Testing Provisions of the Bankruptcy Abuse Prevention and Consumer Protection Act of 2005 Harmful to Michigan Debtors?”, accepted for publication in </w:t>
      </w:r>
      <w:r w:rsidRPr="0088193D">
        <w:rPr>
          <w:u w:val="single"/>
        </w:rPr>
        <w:t xml:space="preserve">Mich. Bar </w:t>
      </w:r>
      <w:proofErr w:type="spellStart"/>
      <w:r w:rsidRPr="0088193D">
        <w:rPr>
          <w:u w:val="single"/>
        </w:rPr>
        <w:t>Jrnl</w:t>
      </w:r>
      <w:proofErr w:type="spellEnd"/>
      <w:r>
        <w:t xml:space="preserve"> (2006)</w:t>
      </w:r>
    </w:p>
    <w:p w:rsidR="00ED0299" w:rsidRDefault="00ED0299" w:rsidP="00ED0299">
      <w:pPr>
        <w:pStyle w:val="ListBullet"/>
      </w:pPr>
      <w:r>
        <w:t xml:space="preserve">“Andersen v. U.S.: A Shift in the Legal Winds for Public Auditors?” 41 </w:t>
      </w:r>
      <w:r w:rsidRPr="0088193D">
        <w:rPr>
          <w:u w:val="single"/>
        </w:rPr>
        <w:t xml:space="preserve">TN Bar </w:t>
      </w:r>
      <w:proofErr w:type="spellStart"/>
      <w:r w:rsidRPr="0088193D">
        <w:rPr>
          <w:u w:val="single"/>
        </w:rPr>
        <w:t>Jrnl</w:t>
      </w:r>
      <w:proofErr w:type="spellEnd"/>
      <w:r>
        <w:t>. 22-39 (2005)</w:t>
      </w:r>
    </w:p>
    <w:p w:rsidR="00361B96" w:rsidRDefault="00361B96" w:rsidP="00361B96">
      <w:pPr>
        <w:pStyle w:val="ListBullet"/>
      </w:pPr>
      <w:r>
        <w:t xml:space="preserve">“Helping Accountants Get the Numbers Right: Audit Committees for Small Companies Following Sarbanes-Oxley,” 40 </w:t>
      </w:r>
      <w:r w:rsidRPr="00ED2A62">
        <w:rPr>
          <w:u w:val="single"/>
        </w:rPr>
        <w:t xml:space="preserve">TN Bar </w:t>
      </w:r>
      <w:proofErr w:type="spellStart"/>
      <w:r w:rsidRPr="00ED2A62">
        <w:rPr>
          <w:u w:val="single"/>
        </w:rPr>
        <w:t>Jrnl</w:t>
      </w:r>
      <w:proofErr w:type="spellEnd"/>
      <w:r w:rsidRPr="00ED2A62">
        <w:rPr>
          <w:u w:val="single"/>
        </w:rPr>
        <w:t>.</w:t>
      </w:r>
      <w:r>
        <w:t xml:space="preserve"> 32 (2004)</w:t>
      </w:r>
    </w:p>
    <w:p w:rsidR="002A784F" w:rsidRDefault="002A784F" w:rsidP="005859D3">
      <w:pPr>
        <w:pStyle w:val="ListBullet"/>
      </w:pPr>
      <w:r>
        <w:t xml:space="preserve">“CPA’s Privilege Against Self-Incrimination and Electronic Document Retention,” </w:t>
      </w:r>
      <w:r w:rsidR="008A13C3">
        <w:rPr>
          <w:u w:val="single"/>
        </w:rPr>
        <w:t>Del Devries</w:t>
      </w:r>
      <w:r w:rsidR="008A13C3">
        <w:t xml:space="preserve"> (Apr. 2003)</w:t>
      </w:r>
    </w:p>
    <w:p w:rsidR="007D0BCE" w:rsidRDefault="007D0BCE" w:rsidP="007D0BCE">
      <w:pPr>
        <w:pStyle w:val="ListBullet"/>
      </w:pPr>
      <w:r>
        <w:t xml:space="preserve">“Employee Reductions in Force: A Comparative Study of French and U.S. Legal Protections for Employees Downsized Out of Their Jobs; A Suggested Alternative to Workforce Reductions,” </w:t>
      </w:r>
      <w:r w:rsidRPr="0095043F">
        <w:rPr>
          <w:u w:val="single"/>
        </w:rPr>
        <w:t>Loyola of Los Angeles International and Comparative Law Review</w:t>
      </w:r>
      <w:r>
        <w:t xml:space="preserve"> (co-authored with Prof. Francois </w:t>
      </w:r>
      <w:proofErr w:type="spellStart"/>
      <w:r>
        <w:t>Lenglart</w:t>
      </w:r>
      <w:proofErr w:type="spellEnd"/>
      <w:r>
        <w:t xml:space="preserve"> of HEC) (2003)</w:t>
      </w:r>
    </w:p>
    <w:p w:rsidR="005B78BB" w:rsidRDefault="005B78BB" w:rsidP="005B78BB">
      <w:pPr>
        <w:pStyle w:val="ListBullet"/>
      </w:pPr>
      <w:r>
        <w:t xml:space="preserve">“Limits of Documentary Privilege Against Self-Incrimination,” 73 </w:t>
      </w:r>
      <w:r w:rsidRPr="0095043F">
        <w:rPr>
          <w:u w:val="single"/>
        </w:rPr>
        <w:t>The CPA Journal</w:t>
      </w:r>
      <w:r>
        <w:t xml:space="preserve"> 62-64 (2003)</w:t>
      </w:r>
    </w:p>
    <w:p w:rsidR="00CF42BC" w:rsidRDefault="00CF42BC" w:rsidP="00CF42BC">
      <w:pPr>
        <w:pStyle w:val="ListBullet"/>
      </w:pPr>
      <w:r>
        <w:t xml:space="preserve">“The </w:t>
      </w:r>
      <w:proofErr w:type="spellStart"/>
      <w:r>
        <w:t>Anticybersquatting</w:t>
      </w:r>
      <w:proofErr w:type="spellEnd"/>
      <w:r>
        <w:t xml:space="preserve"> Consumer Protection Act: Two Cases Addressing Cybersquatting Before and After the Act,” 75 </w:t>
      </w:r>
      <w:r w:rsidRPr="00771ED1">
        <w:rPr>
          <w:u w:val="single"/>
        </w:rPr>
        <w:t xml:space="preserve">Florida Bar </w:t>
      </w:r>
      <w:proofErr w:type="spellStart"/>
      <w:r w:rsidRPr="00771ED1">
        <w:rPr>
          <w:u w:val="single"/>
        </w:rPr>
        <w:t>Jrnl</w:t>
      </w:r>
      <w:proofErr w:type="spellEnd"/>
      <w:r w:rsidRPr="00771ED1">
        <w:rPr>
          <w:u w:val="single"/>
        </w:rPr>
        <w:t>.</w:t>
      </w:r>
      <w:r>
        <w:t xml:space="preserve"> 12-24 (2001)</w:t>
      </w:r>
    </w:p>
    <w:p w:rsidR="00F365D9" w:rsidRDefault="00F365D9" w:rsidP="00F365D9">
      <w:pPr>
        <w:pStyle w:val="ListBullet"/>
      </w:pPr>
      <w:r>
        <w:t xml:space="preserve">“Positive Law as an Ethic: Illustrations of the Ascent of Positive Law to Ethical Status in the Commercial Sector,” 25 </w:t>
      </w:r>
      <w:r w:rsidRPr="00D75883">
        <w:rPr>
          <w:u w:val="single"/>
        </w:rPr>
        <w:t>Journal of Business Ethics</w:t>
      </w:r>
      <w:r>
        <w:t xml:space="preserve"> 115 (May, 2000)</w:t>
      </w:r>
    </w:p>
    <w:p w:rsidR="00CF42BC" w:rsidRDefault="00CF42BC" w:rsidP="00836B04">
      <w:pPr>
        <w:pStyle w:val="ListBullet"/>
      </w:pPr>
      <w:r>
        <w:t xml:space="preserve">“How the Y2K Act’s ADR Mechanism Could Affect Employees in the Health Care Sector” </w:t>
      </w:r>
      <w:r w:rsidRPr="00771ED1">
        <w:rPr>
          <w:u w:val="single"/>
        </w:rPr>
        <w:t>Journal of Alternative Dispute Resolution in Employment</w:t>
      </w:r>
      <w:r>
        <w:t xml:space="preserve"> (co-authored with Prof. Susan Ayers)</w:t>
      </w:r>
      <w:r>
        <w:t xml:space="preserve"> </w:t>
      </w:r>
      <w:r>
        <w:t xml:space="preserve">(2000) </w:t>
      </w:r>
    </w:p>
    <w:p w:rsidR="00E80F10" w:rsidRDefault="00E80F10" w:rsidP="005859D3">
      <w:pPr>
        <w:pStyle w:val="ListBullet"/>
      </w:pPr>
      <w:r>
        <w:t>“The Y2K Act of 1999: Encouraging Mediation, Not Litigation,” (Jan. 2000)</w:t>
      </w:r>
    </w:p>
    <w:p w:rsidR="00836B04" w:rsidRDefault="00836B04" w:rsidP="00836B04">
      <w:pPr>
        <w:pStyle w:val="ListBullet"/>
      </w:pPr>
      <w:r>
        <w:t xml:space="preserve">Co-author, Prof. Paul Bowen, “The Law School Compensation Systems at Three Top Quartile State Law Schools: Factors Correlating with Law Professors’ Salaries and Suggestions” 19 </w:t>
      </w:r>
      <w:r w:rsidRPr="006B7B03">
        <w:rPr>
          <w:u w:val="single"/>
        </w:rPr>
        <w:t>Northern Illinois University Law Review</w:t>
      </w:r>
      <w:r>
        <w:t xml:space="preserve"> 671 (1999)</w:t>
      </w:r>
    </w:p>
    <w:p w:rsidR="008A6790" w:rsidRDefault="008A6790" w:rsidP="008A6790">
      <w:pPr>
        <w:pStyle w:val="ListBullet"/>
      </w:pPr>
      <w:r>
        <w:t xml:space="preserve">“’Great’ Teaching: Augmenting the ‘Student as Customer’ Paradigm with ‘Out-of- the Box’ Statistical Measures of Teaching,” 14 </w:t>
      </w:r>
      <w:r w:rsidRPr="00824576">
        <w:rPr>
          <w:u w:val="single"/>
        </w:rPr>
        <w:t>Journal of Legal Studies Education</w:t>
      </w:r>
      <w:r>
        <w:t xml:space="preserve"> 111 (1997)</w:t>
      </w:r>
    </w:p>
    <w:p w:rsidR="00621070" w:rsidRDefault="00621070" w:rsidP="00621070">
      <w:pPr>
        <w:pStyle w:val="ListBullet"/>
      </w:pPr>
      <w:r>
        <w:t xml:space="preserve">“Five Aspects of Bankruptcy Reform Relevant to Individual Debtors in New York,” 68 </w:t>
      </w:r>
      <w:r w:rsidRPr="00B0114C">
        <w:rPr>
          <w:u w:val="single"/>
        </w:rPr>
        <w:t>New York State Bar Journal</w:t>
      </w:r>
      <w:r>
        <w:t xml:space="preserve"> 20 (1996)</w:t>
      </w:r>
    </w:p>
    <w:p w:rsidR="00BD6AFE" w:rsidRDefault="00BD6AFE" w:rsidP="005859D3">
      <w:pPr>
        <w:pStyle w:val="ListBullet"/>
      </w:pPr>
      <w:r>
        <w:t xml:space="preserve">“Toward the Definition of a Great Teacher,” </w:t>
      </w:r>
      <w:r>
        <w:rPr>
          <w:u w:val="single"/>
        </w:rPr>
        <w:t>Journal of Legal Studies Education</w:t>
      </w:r>
      <w:r>
        <w:t xml:space="preserve"> (Jun. 1996)</w:t>
      </w:r>
    </w:p>
    <w:p w:rsidR="00525F39" w:rsidRDefault="00525F39" w:rsidP="005859D3">
      <w:pPr>
        <w:pStyle w:val="ListBullet"/>
      </w:pPr>
      <w:r>
        <w:t>“The Bankruptcy Reform Act of 1994—Implications for Individuals Filing for Bankruptcy in Michigan,” (Jan. 1996)</w:t>
      </w:r>
    </w:p>
    <w:p w:rsidR="00784DD3" w:rsidRDefault="00784DD3" w:rsidP="00784DD3">
      <w:pPr>
        <w:pStyle w:val="ListBullet"/>
      </w:pPr>
      <w:r>
        <w:lastRenderedPageBreak/>
        <w:t xml:space="preserve">“Whistleblowers in Higher Education: A Technique to Reduce Dysfunctionalities in U.S. Universities,” </w:t>
      </w:r>
      <w:r w:rsidRPr="00B0114C">
        <w:rPr>
          <w:u w:val="single"/>
        </w:rPr>
        <w:t>Proceedings of the Third International Conference on Social Values</w:t>
      </w:r>
      <w:r>
        <w:t>, Oxford University (Jul. 1995)</w:t>
      </w:r>
    </w:p>
    <w:p w:rsidR="004316A5" w:rsidRDefault="004316A5" w:rsidP="004316A5">
      <w:pPr>
        <w:pStyle w:val="ListBullet"/>
      </w:pPr>
      <w:r>
        <w:t xml:space="preserve">“Reflections on Former U.S. Supreme Court Justice Warren Burger’s First Taylor Lecture,” 66 </w:t>
      </w:r>
      <w:r w:rsidRPr="0026170B">
        <w:rPr>
          <w:u w:val="single"/>
        </w:rPr>
        <w:t>New York State Bar Journal</w:t>
      </w:r>
      <w:r>
        <w:t xml:space="preserve"> 48 (Jan. 1994)</w:t>
      </w:r>
    </w:p>
    <w:p w:rsidR="006F1CF7" w:rsidRDefault="006F1CF7" w:rsidP="006F1CF7">
      <w:pPr>
        <w:pStyle w:val="ListBullet"/>
      </w:pPr>
      <w:r>
        <w:t xml:space="preserve">“The Ethical Consumer: A Rejecter of Positive Law Arbitrage,” 25 </w:t>
      </w:r>
      <w:r w:rsidRPr="00AD30D4">
        <w:rPr>
          <w:u w:val="single"/>
        </w:rPr>
        <w:t>Seton Hall Law Review</w:t>
      </w:r>
      <w:r>
        <w:t xml:space="preserve"> 230 (Jan. 1994)</w:t>
      </w:r>
    </w:p>
    <w:p w:rsidR="00784DD3" w:rsidRDefault="006F1CF7" w:rsidP="005859D3">
      <w:pPr>
        <w:pStyle w:val="ListBullet"/>
      </w:pPr>
      <w:r>
        <w:t xml:space="preserve">“Effects of Gender and Other Factors on Rank of Law Professors in Colleges of Business: Evidence of a Glass Ceiling,” 12 </w:t>
      </w:r>
      <w:r w:rsidRPr="006F1CF7">
        <w:rPr>
          <w:u w:val="single"/>
        </w:rPr>
        <w:t>Journal of Business Ethics</w:t>
      </w:r>
      <w:r>
        <w:t xml:space="preserve"> 771 (Oct. 1993)</w:t>
      </w:r>
    </w:p>
    <w:p w:rsidR="00910C3F" w:rsidRDefault="00815F32" w:rsidP="005859D3">
      <w:pPr>
        <w:pStyle w:val="ListBullet"/>
      </w:pPr>
      <w:r>
        <w:t xml:space="preserve">“An Empirical Analysis of the Research Productivity and the Basis of Salary Rewards of the American Business Law Association Members,” </w:t>
      </w:r>
      <w:r>
        <w:rPr>
          <w:u w:val="single"/>
        </w:rPr>
        <w:t>Journal of Legal Studies Education</w:t>
      </w:r>
      <w:r>
        <w:t xml:space="preserve"> (Dec. 1992)</w:t>
      </w:r>
    </w:p>
    <w:p w:rsidR="006F1CF7" w:rsidRDefault="006F1CF7" w:rsidP="005859D3">
      <w:pPr>
        <w:pStyle w:val="ListBullet"/>
      </w:pPr>
      <w:r>
        <w:t xml:space="preserve">“The Whistleblower Protection Act of 1989: A False Hope for Whistleblowers,” 42 </w:t>
      </w:r>
      <w:r w:rsidRPr="006F1CF7">
        <w:rPr>
          <w:u w:val="single"/>
        </w:rPr>
        <w:t>Rutgers Law Review</w:t>
      </w:r>
      <w:r>
        <w:t xml:space="preserve"> 345 (1991)</w:t>
      </w:r>
    </w:p>
    <w:p w:rsidR="00910C3F" w:rsidRDefault="00910C3F" w:rsidP="005859D3">
      <w:pPr>
        <w:pStyle w:val="ListBullet"/>
      </w:pPr>
      <w:r>
        <w:t xml:space="preserve">“Positive Law as the Ethic of Our Time,” </w:t>
      </w:r>
      <w:r>
        <w:rPr>
          <w:u w:val="single"/>
        </w:rPr>
        <w:t>Business Horizons</w:t>
      </w:r>
      <w:r>
        <w:t xml:space="preserve"> (Feb. 1990)</w:t>
      </w:r>
    </w:p>
    <w:p w:rsidR="006F1CF7" w:rsidRDefault="006F1CF7" w:rsidP="006F1CF7">
      <w:pPr>
        <w:pStyle w:val="ListBullet"/>
      </w:pPr>
      <w:r>
        <w:t xml:space="preserve">“Use of the Safety Belt Defense in Michigan Negligent Homicide Cases,” 68 </w:t>
      </w:r>
      <w:r w:rsidRPr="000A20E6">
        <w:rPr>
          <w:u w:val="single"/>
        </w:rPr>
        <w:t>Michigan Bar Journal</w:t>
      </w:r>
      <w:r>
        <w:t xml:space="preserve"> 144 (1989)</w:t>
      </w:r>
    </w:p>
    <w:p w:rsidR="006F1CF7" w:rsidRDefault="006F1CF7" w:rsidP="005859D3">
      <w:pPr>
        <w:pStyle w:val="ListBullet"/>
      </w:pPr>
      <w:r>
        <w:t xml:space="preserve">“Is New York v. Burger a Threat to the Civil Liberties of Business?” 60 </w:t>
      </w:r>
      <w:r w:rsidRPr="006F1CF7">
        <w:rPr>
          <w:u w:val="single"/>
        </w:rPr>
        <w:t>New York State Bar Journal</w:t>
      </w:r>
      <w:r>
        <w:t xml:space="preserve"> 22 (1988)</w:t>
      </w:r>
    </w:p>
    <w:p w:rsidR="00BE6615" w:rsidRDefault="00A36D91" w:rsidP="005859D3">
      <w:pPr>
        <w:pStyle w:val="ListBullet"/>
      </w:pPr>
      <w:r>
        <w:t xml:space="preserve">“Proposed Changes in the Uniform </w:t>
      </w:r>
      <w:r w:rsidR="00910C3F">
        <w:t xml:space="preserve">CPA Examination and the American Business Law Association’s Response,” </w:t>
      </w:r>
      <w:r w:rsidR="00910C3F">
        <w:rPr>
          <w:u w:val="single"/>
        </w:rPr>
        <w:t>Journal of Legal Studies Education</w:t>
      </w:r>
      <w:r w:rsidR="00910C3F">
        <w:t xml:space="preserve"> (Sep. 1988)</w:t>
      </w:r>
    </w:p>
    <w:p w:rsidR="006F1CF7" w:rsidRPr="00C55542" w:rsidRDefault="006F1CF7" w:rsidP="006F1CF7">
      <w:pPr>
        <w:pStyle w:val="ListBullet"/>
      </w:pPr>
      <w:r>
        <w:t xml:space="preserve">“The Federal Register: Capitalist Tool,” </w:t>
      </w:r>
      <w:r w:rsidRPr="00567CA2">
        <w:rPr>
          <w:u w:val="single"/>
        </w:rPr>
        <w:t>Wall Street Journal</w:t>
      </w:r>
      <w:r>
        <w:t xml:space="preserve"> (June 3, 1985)</w:t>
      </w:r>
    </w:p>
    <w:p w:rsidR="006F1CF7" w:rsidRDefault="006F1CF7" w:rsidP="005859D3">
      <w:pPr>
        <w:pStyle w:val="ListBullet"/>
      </w:pPr>
      <w:r>
        <w:t xml:space="preserve">“Controlling Government Regulation: Cost Benefit Analysis Before and After the ‘Cotton Dust’ Case,” 36 </w:t>
      </w:r>
      <w:r w:rsidRPr="006F1CF7">
        <w:rPr>
          <w:u w:val="single"/>
        </w:rPr>
        <w:t>Administrative Law Review</w:t>
      </w:r>
      <w:r>
        <w:t xml:space="preserve"> 179 (Jan. 1984)</w:t>
      </w:r>
    </w:p>
    <w:p w:rsidR="00BE6615" w:rsidRDefault="00BE6615" w:rsidP="005859D3">
      <w:pPr>
        <w:pStyle w:val="ListBullet"/>
      </w:pPr>
      <w:r>
        <w:t>“Tennessee’s Unsettled Exemptions,” (Jan. 1982)</w:t>
      </w:r>
    </w:p>
    <w:p w:rsidR="006F1CF7" w:rsidRDefault="006F1CF7" w:rsidP="005859D3">
      <w:pPr>
        <w:pStyle w:val="ListBullet"/>
      </w:pPr>
      <w:r>
        <w:t xml:space="preserve">“The Federal Exemption Scheme: Delayed Until 1983 for Ohio Bankrupts: A New Ohio Exemption Law is Its Progeny,” 49 </w:t>
      </w:r>
      <w:r w:rsidRPr="006F1CF7">
        <w:rPr>
          <w:u w:val="single"/>
        </w:rPr>
        <w:t>Univ. of Cincinnati Law Review</w:t>
      </w:r>
      <w:r>
        <w:t xml:space="preserve"> 791 (1981)</w:t>
      </w:r>
      <w:bookmarkStart w:id="0" w:name="_GoBack"/>
      <w:bookmarkEnd w:id="0"/>
    </w:p>
    <w:p w:rsidR="007054AA" w:rsidRDefault="007054AA" w:rsidP="005859D3">
      <w:pPr>
        <w:pStyle w:val="ListBullet"/>
      </w:pPr>
      <w:r>
        <w:t xml:space="preserve">“New Exemption Law: What it Means to Texas,” </w:t>
      </w:r>
      <w:r>
        <w:rPr>
          <w:u w:val="single"/>
        </w:rPr>
        <w:t>Texas Bar Journal</w:t>
      </w:r>
      <w:r>
        <w:t xml:space="preserve"> (Jan. 1981)</w:t>
      </w:r>
    </w:p>
    <w:p w:rsidR="007054AA" w:rsidRDefault="007054AA" w:rsidP="005859D3">
      <w:pPr>
        <w:pStyle w:val="ListBullet"/>
      </w:pPr>
      <w:r>
        <w:t>“Tennessee’s New Exemption Law: How Long Will it Last?” (Jan. 1980)</w:t>
      </w:r>
    </w:p>
    <w:p w:rsidR="00956A02" w:rsidRDefault="005A1C53" w:rsidP="005859D3">
      <w:pPr>
        <w:pStyle w:val="ListBullet"/>
      </w:pPr>
      <w:r>
        <w:t xml:space="preserve">“Regulation Transactions in Securities,” </w:t>
      </w:r>
      <w:r w:rsidRPr="004155CB">
        <w:rPr>
          <w:u w:val="single"/>
        </w:rPr>
        <w:t>American Business Law Journal</w:t>
      </w:r>
      <w:r>
        <w:t xml:space="preserve"> (Sep. 1979)</w:t>
      </w:r>
    </w:p>
    <w:p w:rsidR="005859D3" w:rsidRDefault="00956A02" w:rsidP="005859D3">
      <w:pPr>
        <w:pStyle w:val="ListBullet"/>
      </w:pPr>
      <w:r>
        <w:t xml:space="preserve">“Review: </w:t>
      </w:r>
      <w:proofErr w:type="spellStart"/>
      <w:r>
        <w:t>Wiesen</w:t>
      </w:r>
      <w:proofErr w:type="spellEnd"/>
      <w:r>
        <w:t xml:space="preserve">, ‘Regulating Transactions in Securities’,” </w:t>
      </w:r>
      <w:r w:rsidRPr="004155CB">
        <w:rPr>
          <w:u w:val="single"/>
        </w:rPr>
        <w:t>American Business Law Journal</w:t>
      </w:r>
      <w:r>
        <w:t xml:space="preserve"> (Jan. 1979)</w:t>
      </w:r>
    </w:p>
    <w:p w:rsidR="005859D3" w:rsidRDefault="005859D3" w:rsidP="005859D3">
      <w:pPr>
        <w:pStyle w:val="ListBullet"/>
      </w:pPr>
      <w:r>
        <w:t xml:space="preserve">“Some Jurisprudential Aspects of the Uniform Commercial Code,” </w:t>
      </w:r>
      <w:r>
        <w:rPr>
          <w:u w:val="single"/>
        </w:rPr>
        <w:t>Business Law: Key Issues and Concepts</w:t>
      </w:r>
      <w:r>
        <w:t xml:space="preserve"> (Jan. 1978)</w:t>
      </w:r>
    </w:p>
    <w:p w:rsidR="005859D3" w:rsidRDefault="005859D3" w:rsidP="005859D3">
      <w:pPr>
        <w:pStyle w:val="ListBullet"/>
      </w:pPr>
      <w:r>
        <w:t xml:space="preserve">“New York’s SEQR—It’s Increased Importance for Water Pollution Control Following New York’s NPDES Qualification,” </w:t>
      </w:r>
      <w:r>
        <w:rPr>
          <w:u w:val="single"/>
        </w:rPr>
        <w:t>New York State Bar Journal</w:t>
      </w:r>
      <w:r>
        <w:t xml:space="preserve"> (Jan. 1978)</w:t>
      </w:r>
    </w:p>
    <w:p w:rsidR="005859D3" w:rsidRDefault="005859D3" w:rsidP="005859D3">
      <w:pPr>
        <w:pStyle w:val="ListBullet"/>
      </w:pPr>
      <w:r>
        <w:t>“Nevada Becomes NPDES Qualified,” (Apr. 1976)</w:t>
      </w:r>
    </w:p>
    <w:p w:rsidR="005859D3" w:rsidRDefault="005859D3" w:rsidP="005859D3">
      <w:pPr>
        <w:pStyle w:val="ListBullet"/>
      </w:pPr>
      <w:r>
        <w:t>“Dual Permitting for Dischargers into Tennessee Waters—Time for a Change,” (Feb. 1975)</w:t>
      </w:r>
    </w:p>
    <w:p w:rsidR="005859D3" w:rsidRDefault="005859D3" w:rsidP="005859D3">
      <w:pPr>
        <w:pStyle w:val="ListBullet"/>
      </w:pPr>
      <w:r>
        <w:t xml:space="preserve">“Few Answers to Impoundment Question,” </w:t>
      </w:r>
      <w:r w:rsidRPr="004155CB">
        <w:rPr>
          <w:u w:val="single"/>
        </w:rPr>
        <w:t>American Business Law Journal</w:t>
      </w:r>
      <w:r>
        <w:t xml:space="preserve"> (Jan. 1975)</w:t>
      </w:r>
    </w:p>
    <w:p w:rsidR="005859D3" w:rsidRDefault="005859D3" w:rsidP="005859D3">
      <w:pPr>
        <w:pStyle w:val="ListBullet"/>
      </w:pPr>
      <w:r>
        <w:t>“Impoundment Suits: Some of the Issues,” (Mar. 1974)</w:t>
      </w:r>
    </w:p>
    <w:p w:rsidR="00CA2B7F" w:rsidRDefault="00CA2B7F" w:rsidP="0088193D">
      <w:pPr>
        <w:pStyle w:val="ListBullet"/>
      </w:pPr>
      <w:r>
        <w:t xml:space="preserve">“Review: Macklin Fleming’s ‘The Price of Perfect Justice’,” </w:t>
      </w:r>
      <w:r>
        <w:rPr>
          <w:u w:val="single"/>
        </w:rPr>
        <w:t>Tennessee Law Review</w:t>
      </w:r>
      <w:r>
        <w:t xml:space="preserve"> (Jan</w:t>
      </w:r>
      <w:r w:rsidR="00A07786">
        <w:t>. 19</w:t>
      </w:r>
      <w:r w:rsidR="005859D3">
        <w:t>74)</w:t>
      </w:r>
    </w:p>
    <w:p w:rsidR="00CA2B7F" w:rsidRDefault="00CA2B7F" w:rsidP="0088193D">
      <w:pPr>
        <w:pStyle w:val="ListBullet"/>
      </w:pPr>
      <w:r>
        <w:t>“Unfair Income Tax Discrimination: A Specific Case,” (Nov. 1973)</w:t>
      </w:r>
    </w:p>
    <w:p w:rsidR="004035DC" w:rsidRDefault="004035DC" w:rsidP="004035DC">
      <w:pPr>
        <w:pStyle w:val="ListBullet"/>
      </w:pPr>
      <w:r>
        <w:t xml:space="preserve">“Recent Developments in the Federal Labor Law—Antitrust Law Area: The Supreme Court Rejects a Backdoor Approach to Labor-Management Immunity from Antitrust Laws in the Area of Mandatory Subjects of Bargaining,” </w:t>
      </w:r>
      <w:r w:rsidRPr="004155CB">
        <w:rPr>
          <w:u w:val="single"/>
        </w:rPr>
        <w:t>American Business Law Journal</w:t>
      </w:r>
      <w:r>
        <w:t xml:space="preserve"> (Dec. 1972)</w:t>
      </w:r>
    </w:p>
    <w:p w:rsidR="008C181E" w:rsidRDefault="008C181E" w:rsidP="0088193D">
      <w:pPr>
        <w:pStyle w:val="ListBullet"/>
      </w:pPr>
      <w:r>
        <w:t xml:space="preserve">“Two Cases Dealing with CPA’s Legal Liability—Analysis, Recommendations,” </w:t>
      </w:r>
      <w:r w:rsidRPr="004155CB">
        <w:rPr>
          <w:u w:val="single"/>
        </w:rPr>
        <w:t>American Business Law Journal</w:t>
      </w:r>
      <w:r>
        <w:t xml:space="preserve"> (Mar. 1972)</w:t>
      </w:r>
    </w:p>
    <w:p w:rsidR="0013610A" w:rsidRDefault="0013610A" w:rsidP="0088193D">
      <w:pPr>
        <w:pStyle w:val="ListBullet"/>
      </w:pPr>
      <w:r>
        <w:lastRenderedPageBreak/>
        <w:t>“Public Service Directors,” (Jan. 1971)</w:t>
      </w:r>
    </w:p>
    <w:p w:rsidR="004155CB" w:rsidRDefault="004155CB" w:rsidP="0088193D">
      <w:pPr>
        <w:pStyle w:val="ListBullet"/>
      </w:pPr>
      <w:r>
        <w:t xml:space="preserve">“The Continental Vending Case: A Lesson for the Accounting Profession,” </w:t>
      </w:r>
      <w:r w:rsidRPr="004155CB">
        <w:rPr>
          <w:u w:val="single"/>
        </w:rPr>
        <w:t>American Business Law Journal</w:t>
      </w:r>
      <w:r>
        <w:t xml:space="preserve"> (Jan. 1971)</w:t>
      </w:r>
    </w:p>
    <w:p w:rsidR="00BB188B" w:rsidRDefault="00BB188B" w:rsidP="0088193D">
      <w:pPr>
        <w:pStyle w:val="ListBullet"/>
      </w:pPr>
      <w:r>
        <w:t xml:space="preserve">“The Need for More Specific Auditing Standards: A Lesson from the Continental Vending Case,” </w:t>
      </w:r>
      <w:r>
        <w:rPr>
          <w:u w:val="single"/>
        </w:rPr>
        <w:t xml:space="preserve">American Business Law Journal </w:t>
      </w:r>
      <w:r>
        <w:t>(</w:t>
      </w:r>
      <w:r w:rsidR="0013610A">
        <w:t xml:space="preserve">Dec. </w:t>
      </w:r>
      <w:r>
        <w:t>1970)</w:t>
      </w:r>
    </w:p>
    <w:p w:rsidR="00772B61" w:rsidRDefault="00801FD8" w:rsidP="00772B61">
      <w:pPr>
        <w:pStyle w:val="Heading1"/>
      </w:pPr>
      <w:r>
        <w:t xml:space="preserve">Professional </w:t>
      </w:r>
      <w:r w:rsidR="00772B61">
        <w:t>Associations</w:t>
      </w:r>
      <w:r>
        <w:t xml:space="preserve"> &amp; Other Activities</w:t>
      </w:r>
    </w:p>
    <w:p w:rsidR="00772B61" w:rsidRDefault="00772B61" w:rsidP="00772B61">
      <w:pPr>
        <w:pStyle w:val="ListBullet"/>
      </w:pPr>
      <w:r>
        <w:t xml:space="preserve">American Business Law Association (President, </w:t>
      </w:r>
      <w:r w:rsidR="00801FD8">
        <w:t>and other offices 1982-86)</w:t>
      </w:r>
    </w:p>
    <w:p w:rsidR="00801FD8" w:rsidRDefault="00801FD8" w:rsidP="00801FD8">
      <w:pPr>
        <w:pStyle w:val="ListBullet"/>
      </w:pPr>
      <w:r>
        <w:t>Southeast Regional Business Law Association (President, and other offices 1975-78)</w:t>
      </w:r>
    </w:p>
    <w:p w:rsidR="00801FD8" w:rsidRDefault="00801FD8" w:rsidP="00801FD8">
      <w:pPr>
        <w:pStyle w:val="ListBullet"/>
      </w:pPr>
      <w:r w:rsidRPr="00801FD8">
        <w:t>Co</w:t>
      </w:r>
      <w:r>
        <w:t>mmentator, W-UOT (public radio)</w:t>
      </w:r>
    </w:p>
    <w:p w:rsidR="00801FD8" w:rsidRDefault="00801FD8" w:rsidP="001E13CD">
      <w:pPr>
        <w:pStyle w:val="ListBullet"/>
      </w:pPr>
      <w:r>
        <w:t xml:space="preserve">Listed in </w:t>
      </w:r>
      <w:r w:rsidRPr="00801FD8">
        <w:rPr>
          <w:u w:val="single"/>
        </w:rPr>
        <w:t>Who’s Who in the Southeast</w:t>
      </w:r>
      <w:r>
        <w:t xml:space="preserve">, </w:t>
      </w:r>
      <w:r w:rsidRPr="00801FD8">
        <w:rPr>
          <w:u w:val="single"/>
        </w:rPr>
        <w:t>Who’s Who Among America’s Teachers</w:t>
      </w:r>
      <w:r>
        <w:t xml:space="preserve"> (1996)</w:t>
      </w:r>
      <w:r w:rsidR="001E13CD">
        <w:t xml:space="preserve">, and </w:t>
      </w:r>
      <w:r w:rsidR="001E13CD" w:rsidRPr="001E13CD">
        <w:rPr>
          <w:u w:val="single"/>
        </w:rPr>
        <w:t>Who’s Who in American Law</w:t>
      </w:r>
      <w:r w:rsidR="001E13CD">
        <w:t xml:space="preserve"> (1995/96)</w:t>
      </w:r>
    </w:p>
    <w:p w:rsidR="001E13CD" w:rsidRPr="001B29CF" w:rsidRDefault="001E13CD" w:rsidP="001E13CD">
      <w:pPr>
        <w:pStyle w:val="ListBullet"/>
      </w:pPr>
      <w:r>
        <w:t>Avid golfer, swimmer, and runner</w:t>
      </w:r>
    </w:p>
    <w:sectPr w:rsidR="001E13CD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BE" w:rsidRDefault="008800BE">
      <w:pPr>
        <w:spacing w:after="0"/>
      </w:pPr>
      <w:r>
        <w:separator/>
      </w:r>
    </w:p>
  </w:endnote>
  <w:endnote w:type="continuationSeparator" w:id="0">
    <w:p w:rsidR="008800BE" w:rsidRDefault="008800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F1CF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BE" w:rsidRDefault="008800BE">
      <w:pPr>
        <w:spacing w:after="0"/>
      </w:pPr>
      <w:r>
        <w:separator/>
      </w:r>
    </w:p>
  </w:footnote>
  <w:footnote w:type="continuationSeparator" w:id="0">
    <w:p w:rsidR="008800BE" w:rsidRDefault="008800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C"/>
    <w:rsid w:val="00051761"/>
    <w:rsid w:val="00054DB3"/>
    <w:rsid w:val="000A20E6"/>
    <w:rsid w:val="000A4F59"/>
    <w:rsid w:val="000D753C"/>
    <w:rsid w:val="0013610A"/>
    <w:rsid w:val="00141A4C"/>
    <w:rsid w:val="00161DE9"/>
    <w:rsid w:val="001B29CF"/>
    <w:rsid w:val="001B325A"/>
    <w:rsid w:val="001C6B26"/>
    <w:rsid w:val="001D2F5C"/>
    <w:rsid w:val="001D6B87"/>
    <w:rsid w:val="001E13CD"/>
    <w:rsid w:val="0020202F"/>
    <w:rsid w:val="00207A70"/>
    <w:rsid w:val="0026170B"/>
    <w:rsid w:val="002732CF"/>
    <w:rsid w:val="0028220F"/>
    <w:rsid w:val="002A784F"/>
    <w:rsid w:val="00356C14"/>
    <w:rsid w:val="00361B96"/>
    <w:rsid w:val="004035DC"/>
    <w:rsid w:val="004155CB"/>
    <w:rsid w:val="004316A5"/>
    <w:rsid w:val="0046230A"/>
    <w:rsid w:val="004B2BDD"/>
    <w:rsid w:val="004E0F01"/>
    <w:rsid w:val="00501342"/>
    <w:rsid w:val="00525F39"/>
    <w:rsid w:val="00567CA2"/>
    <w:rsid w:val="005859D3"/>
    <w:rsid w:val="005A1C53"/>
    <w:rsid w:val="005B78BB"/>
    <w:rsid w:val="005D3F63"/>
    <w:rsid w:val="005E288E"/>
    <w:rsid w:val="006108D7"/>
    <w:rsid w:val="00617B26"/>
    <w:rsid w:val="00621070"/>
    <w:rsid w:val="006270A9"/>
    <w:rsid w:val="006335F6"/>
    <w:rsid w:val="0064197A"/>
    <w:rsid w:val="00675956"/>
    <w:rsid w:val="00681034"/>
    <w:rsid w:val="006B7B03"/>
    <w:rsid w:val="006F1CF7"/>
    <w:rsid w:val="007054AA"/>
    <w:rsid w:val="00757733"/>
    <w:rsid w:val="00771ED1"/>
    <w:rsid w:val="00772B61"/>
    <w:rsid w:val="00784DD3"/>
    <w:rsid w:val="007D0BCE"/>
    <w:rsid w:val="007D7882"/>
    <w:rsid w:val="00801FD8"/>
    <w:rsid w:val="00815D34"/>
    <w:rsid w:val="00815F32"/>
    <w:rsid w:val="00816216"/>
    <w:rsid w:val="008177AF"/>
    <w:rsid w:val="00822DE5"/>
    <w:rsid w:val="00824576"/>
    <w:rsid w:val="00836B04"/>
    <w:rsid w:val="00837E51"/>
    <w:rsid w:val="008528B0"/>
    <w:rsid w:val="0087734B"/>
    <w:rsid w:val="008800BE"/>
    <w:rsid w:val="0088193D"/>
    <w:rsid w:val="008A13C3"/>
    <w:rsid w:val="008A6790"/>
    <w:rsid w:val="008C181E"/>
    <w:rsid w:val="008F7557"/>
    <w:rsid w:val="00903C31"/>
    <w:rsid w:val="00910C3F"/>
    <w:rsid w:val="009465F3"/>
    <w:rsid w:val="009470D8"/>
    <w:rsid w:val="0095043F"/>
    <w:rsid w:val="00956A02"/>
    <w:rsid w:val="009A310F"/>
    <w:rsid w:val="009D5933"/>
    <w:rsid w:val="00A07786"/>
    <w:rsid w:val="00A36D91"/>
    <w:rsid w:val="00A44FE1"/>
    <w:rsid w:val="00A740F6"/>
    <w:rsid w:val="00A8714C"/>
    <w:rsid w:val="00A955CA"/>
    <w:rsid w:val="00AD30D4"/>
    <w:rsid w:val="00B0114C"/>
    <w:rsid w:val="00B90A11"/>
    <w:rsid w:val="00BB188B"/>
    <w:rsid w:val="00BC4550"/>
    <w:rsid w:val="00BD6AFE"/>
    <w:rsid w:val="00BD768D"/>
    <w:rsid w:val="00BE6615"/>
    <w:rsid w:val="00C55542"/>
    <w:rsid w:val="00C61F8E"/>
    <w:rsid w:val="00C866F2"/>
    <w:rsid w:val="00CA2B7F"/>
    <w:rsid w:val="00CD4C5D"/>
    <w:rsid w:val="00CD6B89"/>
    <w:rsid w:val="00CF42BC"/>
    <w:rsid w:val="00D75883"/>
    <w:rsid w:val="00E4039C"/>
    <w:rsid w:val="00E80F10"/>
    <w:rsid w:val="00E83E4B"/>
    <w:rsid w:val="00EA356D"/>
    <w:rsid w:val="00ED0299"/>
    <w:rsid w:val="00ED2A62"/>
    <w:rsid w:val="00EF366C"/>
    <w:rsid w:val="00F20831"/>
    <w:rsid w:val="00F365D9"/>
    <w:rsid w:val="00F466A5"/>
    <w:rsid w:val="00F47347"/>
    <w:rsid w:val="00F86E31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D1634"/>
  <w15:chartTrackingRefBased/>
  <w15:docId w15:val="{FCF1FBD3-5E65-4FAB-9768-710CACC8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BC4550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.bolt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76F0B8E9694C988AAE827CE7446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422F-7673-423E-A58F-BB6BFFB8BB94}"/>
      </w:docPartPr>
      <w:docPartBody>
        <w:p w:rsidR="00B30A14" w:rsidRDefault="005D4959">
          <w:pPr>
            <w:pStyle w:val="A876F0B8E9694C988AAE827CE7446AA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B6"/>
    <w:rsid w:val="000D18B6"/>
    <w:rsid w:val="00441178"/>
    <w:rsid w:val="005D4959"/>
    <w:rsid w:val="00B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79197672B4B39B57002D13E171850">
    <w:name w:val="76A79197672B4B39B57002D13E171850"/>
  </w:style>
  <w:style w:type="paragraph" w:customStyle="1" w:styleId="0CCF4E9FEA08470F81B3027FB4169395">
    <w:name w:val="0CCF4E9FEA08470F81B3027FB4169395"/>
  </w:style>
  <w:style w:type="paragraph" w:customStyle="1" w:styleId="DF475DC34A7446328C7D3CF4497C55D3">
    <w:name w:val="DF475DC34A7446328C7D3CF4497C55D3"/>
  </w:style>
  <w:style w:type="paragraph" w:customStyle="1" w:styleId="401C967254234D43A74273A01701D739">
    <w:name w:val="401C967254234D43A74273A01701D739"/>
  </w:style>
  <w:style w:type="paragraph" w:customStyle="1" w:styleId="C157F398DFB843CD8EFCAC36EC7FD2D8">
    <w:name w:val="C157F398DFB843CD8EFCAC36EC7FD2D8"/>
  </w:style>
  <w:style w:type="paragraph" w:customStyle="1" w:styleId="8B1F7336C26B47579A9FB15CB2B803AB">
    <w:name w:val="8B1F7336C26B47579A9FB15CB2B803AB"/>
  </w:style>
  <w:style w:type="paragraph" w:customStyle="1" w:styleId="A876F0B8E9694C988AAE827CE7446AA5">
    <w:name w:val="A876F0B8E9694C988AAE827CE7446AA5"/>
  </w:style>
  <w:style w:type="paragraph" w:customStyle="1" w:styleId="6062EE0D084C456BA7430F8262894E97">
    <w:name w:val="6062EE0D084C456BA7430F8262894E97"/>
  </w:style>
  <w:style w:type="paragraph" w:customStyle="1" w:styleId="DFDDC7D1ED4346D7B9FBA563A605FF1C">
    <w:name w:val="DFDDC7D1ED4346D7B9FBA563A605FF1C"/>
  </w:style>
  <w:style w:type="paragraph" w:customStyle="1" w:styleId="0049B1B740D04578B1F2D2AA693CE17F">
    <w:name w:val="0049B1B740D04578B1F2D2AA693CE17F"/>
  </w:style>
  <w:style w:type="paragraph" w:customStyle="1" w:styleId="839F9A1FBF924DAD95D7049F8BCDDD97">
    <w:name w:val="839F9A1FBF924DAD95D7049F8BCDDD97"/>
  </w:style>
  <w:style w:type="paragraph" w:customStyle="1" w:styleId="4D358CE8DECA412C98A30170E2040A47">
    <w:name w:val="4D358CE8DECA412C98A30170E2040A47"/>
  </w:style>
  <w:style w:type="paragraph" w:customStyle="1" w:styleId="B5088FD60BB54DD29A048AB9BFC1B527">
    <w:name w:val="B5088FD60BB54DD29A048AB9BFC1B527"/>
  </w:style>
  <w:style w:type="paragraph" w:customStyle="1" w:styleId="7DAEDCB5DE134A3CA7A7D8CAD134A989">
    <w:name w:val="7DAEDCB5DE134A3CA7A7D8CAD134A989"/>
  </w:style>
  <w:style w:type="paragraph" w:customStyle="1" w:styleId="2797D5665F6A40CF912D7B5C97606F77">
    <w:name w:val="2797D5665F6A40CF912D7B5C97606F77"/>
  </w:style>
  <w:style w:type="paragraph" w:customStyle="1" w:styleId="C4A311876B4A410DB2319D4934B441B5">
    <w:name w:val="C4A311876B4A410DB2319D4934B441B5"/>
  </w:style>
  <w:style w:type="paragraph" w:customStyle="1" w:styleId="418F1BF88995445A9F632A7530E5FE56">
    <w:name w:val="418F1BF88995445A9F632A7530E5FE56"/>
  </w:style>
  <w:style w:type="paragraph" w:customStyle="1" w:styleId="4E3BA2BBAC70488197423673EA6C6DE0">
    <w:name w:val="4E3BA2BBAC70488197423673EA6C6DE0"/>
  </w:style>
  <w:style w:type="paragraph" w:customStyle="1" w:styleId="ACCC88E23E4542669FA3D4D29415594B">
    <w:name w:val="ACCC88E23E4542669FA3D4D29415594B"/>
  </w:style>
  <w:style w:type="paragraph" w:customStyle="1" w:styleId="80AA24C80D1943488EAFBE87817FCAB2">
    <w:name w:val="80AA24C80D1943488EAFBE87817FCAB2"/>
  </w:style>
  <w:style w:type="paragraph" w:customStyle="1" w:styleId="03F1E516D99B4BAAAEA70ABD5D1A0CF5">
    <w:name w:val="03F1E516D99B4BAAAEA70ABD5D1A0CF5"/>
  </w:style>
  <w:style w:type="paragraph" w:customStyle="1" w:styleId="C7454949407E4274A56BCA4ABD9DD186">
    <w:name w:val="C7454949407E4274A56BCA4ABD9DD186"/>
  </w:style>
  <w:style w:type="paragraph" w:customStyle="1" w:styleId="F4F06AE4DBC8475BAF1C2C9AEDCEFF5F">
    <w:name w:val="F4F06AE4DBC8475BAF1C2C9AEDCEFF5F"/>
  </w:style>
  <w:style w:type="paragraph" w:customStyle="1" w:styleId="43E487B9AE794BDD8ED22F53075B4CE6">
    <w:name w:val="43E487B9AE794BDD8ED22F53075B4CE6"/>
  </w:style>
  <w:style w:type="paragraph" w:customStyle="1" w:styleId="E594F30C936444B88BFBF69F8FD5876C">
    <w:name w:val="E594F30C936444B88BFBF69F8FD5876C"/>
  </w:style>
  <w:style w:type="paragraph" w:customStyle="1" w:styleId="1B0CC25656774E0EB34EE5A34AFD07C0">
    <w:name w:val="1B0CC25656774E0EB34EE5A34AFD07C0"/>
  </w:style>
  <w:style w:type="paragraph" w:customStyle="1" w:styleId="42F0982F25C049389A4B30752258F8F3">
    <w:name w:val="42F0982F25C049389A4B30752258F8F3"/>
  </w:style>
  <w:style w:type="paragraph" w:customStyle="1" w:styleId="3C90A4FDBD4343DCAFB5E99950F13357">
    <w:name w:val="3C90A4FDBD4343DCAFB5E99950F13357"/>
  </w:style>
  <w:style w:type="paragraph" w:customStyle="1" w:styleId="ED71B475FDC7497B9E1B9C81BB577877">
    <w:name w:val="ED71B475FDC7497B9E1B9C81BB577877"/>
  </w:style>
  <w:style w:type="paragraph" w:customStyle="1" w:styleId="93F8EA96743143AEB5F4713631F9AE85">
    <w:name w:val="93F8EA96743143AEB5F4713631F9AE85"/>
  </w:style>
  <w:style w:type="paragraph" w:customStyle="1" w:styleId="135164B23B3049A0BF22D501D0E5C488">
    <w:name w:val="135164B23B3049A0BF22D501D0E5C488"/>
  </w:style>
  <w:style w:type="paragraph" w:customStyle="1" w:styleId="EAAB402E4BD14769A3BCB12C312AE45F">
    <w:name w:val="EAAB402E4BD14769A3BCB12C312AE45F"/>
  </w:style>
  <w:style w:type="paragraph" w:customStyle="1" w:styleId="8742CF47D0D945E78E5237FE592134D9">
    <w:name w:val="8742CF47D0D945E78E5237FE592134D9"/>
  </w:style>
  <w:style w:type="paragraph" w:customStyle="1" w:styleId="4974A582A55D48B490CED2193E1337DF">
    <w:name w:val="4974A582A55D48B490CED2193E1337DF"/>
    <w:rsid w:val="000D18B6"/>
  </w:style>
  <w:style w:type="paragraph" w:customStyle="1" w:styleId="5FB796C492CF42D98E3879D475376DEF">
    <w:name w:val="5FB796C492CF42D98E3879D475376DEF"/>
    <w:rsid w:val="000D18B6"/>
  </w:style>
  <w:style w:type="paragraph" w:customStyle="1" w:styleId="21A934F823234FEDACBC60D3AD1978EE">
    <w:name w:val="21A934F823234FEDACBC60D3AD1978EE"/>
    <w:rsid w:val="000D18B6"/>
  </w:style>
  <w:style w:type="paragraph" w:customStyle="1" w:styleId="B44C3E5B22244FCE9F73775C87CADF7F">
    <w:name w:val="B44C3E5B22244FCE9F73775C87CADF7F"/>
    <w:rsid w:val="000D18B6"/>
  </w:style>
  <w:style w:type="paragraph" w:customStyle="1" w:styleId="02F08C0DE30E417090FD908D63A50B42">
    <w:name w:val="02F08C0DE30E417090FD908D63A50B42"/>
    <w:rsid w:val="000D18B6"/>
  </w:style>
  <w:style w:type="paragraph" w:customStyle="1" w:styleId="98CC3431FA1E45D995A3AC7B564D3B19">
    <w:name w:val="98CC3431FA1E45D995A3AC7B564D3B19"/>
    <w:rsid w:val="000D18B6"/>
  </w:style>
  <w:style w:type="paragraph" w:customStyle="1" w:styleId="5BAC36A7FD0643B6AE1745A9576E9221">
    <w:name w:val="5BAC36A7FD0643B6AE1745A9576E9221"/>
    <w:rsid w:val="000D18B6"/>
  </w:style>
  <w:style w:type="paragraph" w:customStyle="1" w:styleId="99459E39D2D342858F2A5B17D6B74818">
    <w:name w:val="99459E39D2D342858F2A5B17D6B74818"/>
    <w:rsid w:val="000D18B6"/>
  </w:style>
  <w:style w:type="paragraph" w:customStyle="1" w:styleId="65BFED2FEA81410993D574AA3426C127">
    <w:name w:val="65BFED2FEA81410993D574AA3426C127"/>
    <w:rsid w:val="000D18B6"/>
  </w:style>
  <w:style w:type="paragraph" w:customStyle="1" w:styleId="14D5DD6AEF71433AA4F29249A7C9284E">
    <w:name w:val="14D5DD6AEF71433AA4F29249A7C9284E"/>
    <w:rsid w:val="000D18B6"/>
  </w:style>
  <w:style w:type="paragraph" w:customStyle="1" w:styleId="7803D6C6429D40AAAFAF869C25B9E445">
    <w:name w:val="7803D6C6429D40AAAFAF869C25B9E445"/>
    <w:rsid w:val="000D18B6"/>
  </w:style>
  <w:style w:type="paragraph" w:customStyle="1" w:styleId="0769FDE3984F4F8CAEAB2DFC3AD83915">
    <w:name w:val="0769FDE3984F4F8CAEAB2DFC3AD83915"/>
    <w:rsid w:val="000D18B6"/>
  </w:style>
  <w:style w:type="paragraph" w:customStyle="1" w:styleId="406B6346EB234113A83ED31C6C9770B4">
    <w:name w:val="406B6346EB234113A83ED31C6C9770B4"/>
    <w:rsid w:val="000D18B6"/>
  </w:style>
  <w:style w:type="paragraph" w:customStyle="1" w:styleId="E9E7D490913E4754A75697E4966D139D">
    <w:name w:val="E9E7D490913E4754A75697E4966D139D"/>
    <w:rsid w:val="000D18B6"/>
  </w:style>
  <w:style w:type="paragraph" w:customStyle="1" w:styleId="C4D86D64A58C4F5BB153FA78E23ED5A6">
    <w:name w:val="C4D86D64A58C4F5BB153FA78E23ED5A6"/>
    <w:rsid w:val="000D18B6"/>
  </w:style>
  <w:style w:type="paragraph" w:customStyle="1" w:styleId="ECF8677CD51F499C919C4DC99CEA26FB">
    <w:name w:val="ECF8677CD51F499C919C4DC99CEA26FB"/>
    <w:rsid w:val="000D18B6"/>
  </w:style>
  <w:style w:type="paragraph" w:customStyle="1" w:styleId="A04A75F26CC64C989805D662326953DF">
    <w:name w:val="A04A75F26CC64C989805D662326953DF"/>
    <w:rsid w:val="000D1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FFE4-7A43-4EB4-9713-F0AA770A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424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Ryan</dc:creator>
  <cp:keywords/>
  <cp:lastModifiedBy>Bolt, Ryan</cp:lastModifiedBy>
  <cp:revision>64</cp:revision>
  <dcterms:created xsi:type="dcterms:W3CDTF">2017-08-15T17:36:00Z</dcterms:created>
  <dcterms:modified xsi:type="dcterms:W3CDTF">2017-08-16T17:16:00Z</dcterms:modified>
  <cp:version/>
</cp:coreProperties>
</file>